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1B3A" w14:textId="77777777" w:rsidR="008708BB" w:rsidRDefault="008708BB" w:rsidP="008708BB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2AC7A110" wp14:editId="477ABEC0">
            <wp:extent cx="1130400" cy="435600"/>
            <wp:effectExtent l="0" t="0" r="0" b="0"/>
            <wp:docPr id="6" name="image3.png" descr="Evrop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vropa 2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43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AF4A0B8" wp14:editId="25C68BEF">
            <wp:simplePos x="0" y="0"/>
            <wp:positionH relativeFrom="column">
              <wp:posOffset>4826000</wp:posOffset>
            </wp:positionH>
            <wp:positionV relativeFrom="paragraph">
              <wp:posOffset>-150494</wp:posOffset>
            </wp:positionV>
            <wp:extent cx="1324800" cy="662400"/>
            <wp:effectExtent l="0" t="0" r="0" b="0"/>
            <wp:wrapNone/>
            <wp:docPr id="4" name="image1.jpg" descr="A green rectangle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green rectangle with white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6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3743A9" w14:textId="77777777" w:rsidR="008708BB" w:rsidRDefault="008708BB" w:rsidP="008708BB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FORMULÁŘ PRO ÉTEROVOU SOUTĚŽ NA E2</w:t>
      </w:r>
    </w:p>
    <w:p w14:paraId="342B57BA" w14:textId="77777777" w:rsidR="008708BB" w:rsidRDefault="008708BB" w:rsidP="008708BB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DD15049" w14:textId="77777777" w:rsidR="008708BB" w:rsidRDefault="008708BB" w:rsidP="008708BB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platné od 24. 6. 2024</w:t>
      </w:r>
    </w:p>
    <w:p w14:paraId="6201F8ED" w14:textId="77777777" w:rsidR="008708BB" w:rsidRDefault="008708BB" w:rsidP="008708BB">
      <w:pPr>
        <w:rPr>
          <w:rFonts w:ascii="Calibri" w:eastAsia="Calibri" w:hAnsi="Calibri" w:cs="Calibri"/>
          <w:color w:val="1F497D"/>
          <w:sz w:val="22"/>
          <w:szCs w:val="22"/>
          <w:u w:val="single"/>
        </w:rPr>
      </w:pPr>
    </w:p>
    <w:p w14:paraId="00B79868" w14:textId="77777777" w:rsidR="008708BB" w:rsidRDefault="008708BB" w:rsidP="008708BB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Důležité:</w:t>
      </w:r>
    </w:p>
    <w:p w14:paraId="1E5E8E5F" w14:textId="123304D2" w:rsidR="008708BB" w:rsidRDefault="008708BB" w:rsidP="008708B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téma, výhra (minimální hodnota denní výhry je 5 000 Kč), soutěžní mechanika, termín soutěže – podléhá schválení E2; soutěž je nutno předem rezervovat (vše e-mailem: </w:t>
      </w:r>
      <w:r w:rsidR="00BF0B89" w:rsidRPr="00E54C33">
        <w:rPr>
          <w:rFonts w:ascii="Calibri" w:hAnsi="Calibri" w:cs="Calibri"/>
          <w:color w:val="0070C0"/>
          <w:sz w:val="22"/>
          <w:szCs w:val="22"/>
          <w:u w:val="single"/>
        </w:rPr>
        <w:t>(katerina.neuzilova@evropa2.cz</w:t>
      </w:r>
      <w:r w:rsidR="00BF0B89">
        <w:rPr>
          <w:rFonts w:ascii="Calibri" w:eastAsia="Calibri" w:hAnsi="Calibri" w:cs="Calibri"/>
          <w:color w:val="0563C1"/>
          <w:sz w:val="22"/>
          <w:szCs w:val="22"/>
          <w:u w:val="single"/>
        </w:rPr>
        <w:t>)</w:t>
      </w:r>
      <w:r w:rsidR="00BF0B89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3E66D0">
        <w:rPr>
          <w:rFonts w:ascii="Calibri" w:eastAsia="Calibri" w:hAnsi="Calibri" w:cs="Calibri"/>
          <w:iCs/>
          <w:color w:val="000000"/>
          <w:sz w:val="22"/>
          <w:szCs w:val="22"/>
        </w:rPr>
        <w:t>(před podpisem smlouvy s klientem)</w:t>
      </w:r>
    </w:p>
    <w:p w14:paraId="2C889C05" w14:textId="4BCF8F2B" w:rsidR="008708BB" w:rsidRDefault="008708BB" w:rsidP="008708BB">
      <w:pPr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termín dodání finálních podkladů k realizaci: </w:t>
      </w:r>
      <w:r>
        <w:rPr>
          <w:rFonts w:ascii="Calibri" w:eastAsia="Calibri" w:hAnsi="Calibri" w:cs="Calibri"/>
          <w:b/>
          <w:sz w:val="22"/>
          <w:szCs w:val="22"/>
        </w:rPr>
        <w:t>nejpozději 6 pracovních dní</w:t>
      </w:r>
      <w:r>
        <w:rPr>
          <w:rFonts w:ascii="Calibri" w:eastAsia="Calibri" w:hAnsi="Calibri" w:cs="Calibri"/>
          <w:sz w:val="22"/>
          <w:szCs w:val="22"/>
        </w:rPr>
        <w:t xml:space="preserve"> před začátkem realizace (e-maily na</w:t>
      </w:r>
      <w:r w:rsidR="00BF0B89">
        <w:rPr>
          <w:rFonts w:ascii="Calibri" w:eastAsia="Calibri" w:hAnsi="Calibri" w:cs="Calibri"/>
          <w:sz w:val="22"/>
          <w:szCs w:val="22"/>
        </w:rPr>
        <w:t xml:space="preserve">: </w:t>
      </w:r>
      <w:r w:rsidR="00BF0B89" w:rsidRPr="00E54C33">
        <w:rPr>
          <w:rFonts w:ascii="Calibri" w:hAnsi="Calibri" w:cs="Calibri"/>
          <w:color w:val="0070C0"/>
          <w:sz w:val="22"/>
          <w:szCs w:val="22"/>
          <w:u w:val="single"/>
        </w:rPr>
        <w:t>katerina.neuzilova@evropa2.cz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  <w:hyperlink r:id="rId7">
        <w:r w:rsidRPr="00FA5410">
          <w:rPr>
            <w:rFonts w:ascii="Calibri" w:eastAsia="Calibri" w:hAnsi="Calibri" w:cs="Calibri"/>
            <w:color w:val="0070C0"/>
            <w:sz w:val="22"/>
            <w:szCs w:val="22"/>
            <w:u w:val="single"/>
          </w:rPr>
          <w:t>jiri.tayerle@evropa2.cz</w:t>
        </w:r>
      </w:hyperlink>
      <w:r>
        <w:rPr>
          <w:rFonts w:ascii="Calibri" w:eastAsia="Calibri" w:hAnsi="Calibri" w:cs="Calibri"/>
          <w:sz w:val="22"/>
          <w:szCs w:val="22"/>
        </w:rPr>
        <w:t>)</w:t>
      </w:r>
    </w:p>
    <w:p w14:paraId="0FD63211" w14:textId="77777777" w:rsidR="008708BB" w:rsidRDefault="008708BB" w:rsidP="008708B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grafické podklady musí být </w:t>
      </w:r>
      <w:r>
        <w:rPr>
          <w:rFonts w:ascii="Calibri" w:eastAsia="Calibri" w:hAnsi="Calibri" w:cs="Calibri"/>
          <w:b/>
          <w:sz w:val="22"/>
          <w:szCs w:val="22"/>
        </w:rPr>
        <w:t xml:space="preserve">v požadovaných rozměrech </w:t>
      </w:r>
      <w:r>
        <w:rPr>
          <w:rFonts w:ascii="Calibri" w:eastAsia="Calibri" w:hAnsi="Calibri" w:cs="Calibri"/>
          <w:sz w:val="22"/>
          <w:szCs w:val="22"/>
        </w:rPr>
        <w:t xml:space="preserve">(viz níže) – jinak je </w:t>
      </w:r>
      <w:r>
        <w:rPr>
          <w:rFonts w:ascii="Calibri" w:eastAsia="Calibri" w:hAnsi="Calibri" w:cs="Calibri"/>
          <w:b/>
          <w:sz w:val="22"/>
          <w:szCs w:val="22"/>
        </w:rPr>
        <w:t>nelze použít</w:t>
      </w:r>
    </w:p>
    <w:p w14:paraId="274B6186" w14:textId="77777777" w:rsidR="008708BB" w:rsidRDefault="008708BB" w:rsidP="008708B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grafiku nevkládat do těla e-mailu, prezentací apod., ale jako </w:t>
      </w:r>
      <w:r>
        <w:rPr>
          <w:rFonts w:ascii="Calibri" w:eastAsia="Calibri" w:hAnsi="Calibri" w:cs="Calibri"/>
          <w:b/>
          <w:sz w:val="22"/>
          <w:szCs w:val="22"/>
        </w:rPr>
        <w:t>přílohu e-mailu</w:t>
      </w:r>
    </w:p>
    <w:p w14:paraId="11E91B60" w14:textId="77777777" w:rsidR="008708BB" w:rsidRDefault="008708BB" w:rsidP="008708B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formulář níže zaslat nejen jako přílohu, ale i do těla e-mailu</w:t>
      </w:r>
    </w:p>
    <w:p w14:paraId="36CBEADC" w14:textId="77777777" w:rsidR="008708BB" w:rsidRDefault="008708BB" w:rsidP="008708B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přeje-li si klient citace (výher či komerčních sdělení) delší než 20 sec, </w:t>
      </w:r>
      <w:r>
        <w:rPr>
          <w:rFonts w:ascii="Calibri" w:eastAsia="Calibri" w:hAnsi="Calibri" w:cs="Calibri"/>
          <w:b/>
          <w:sz w:val="22"/>
          <w:szCs w:val="22"/>
        </w:rPr>
        <w:t>rozdělí je do více verzí</w:t>
      </w:r>
      <w:r>
        <w:rPr>
          <w:rFonts w:ascii="Calibri" w:eastAsia="Calibri" w:hAnsi="Calibri" w:cs="Calibri"/>
          <w:sz w:val="22"/>
          <w:szCs w:val="22"/>
        </w:rPr>
        <w:t>, které se v rámci soutěžních vstupů prostřídají + upřesnit jak (neposílat jednu rozsáhlou citaci)</w:t>
      </w:r>
    </w:p>
    <w:p w14:paraId="47FDC5DD" w14:textId="77777777" w:rsidR="008708BB" w:rsidRDefault="008708BB" w:rsidP="008708B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podklady podléhají schválení E2 (do finální podoby odeslaných podkladů již není možné z několika důvodů zasahovat)</w:t>
      </w:r>
    </w:p>
    <w:p w14:paraId="6D9C7989" w14:textId="77777777" w:rsidR="008708BB" w:rsidRDefault="008708BB" w:rsidP="008708BB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323"/>
      </w:tblGrid>
      <w:tr w:rsidR="008708BB" w14:paraId="1CBBBF0D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7D33" w14:textId="77777777" w:rsidR="008708BB" w:rsidRDefault="008708BB" w:rsidP="00EA5E1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Speciální operace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CDBE" w14:textId="77777777" w:rsidR="008708BB" w:rsidRDefault="008708BB" w:rsidP="00EA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Soutěž E2</w:t>
            </w:r>
          </w:p>
        </w:tc>
      </w:tr>
      <w:tr w:rsidR="008708BB" w14:paraId="5EC2266A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2512" w14:textId="77777777" w:rsidR="008708BB" w:rsidRDefault="008708BB" w:rsidP="00EA5E1B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Objednání výroby promo spotu (30 sec)</w:t>
            </w:r>
          </w:p>
          <w:p w14:paraId="4CA40B17" w14:textId="77777777" w:rsidR="008708BB" w:rsidRDefault="008708BB" w:rsidP="00EA5E1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Specifikovat zda ANO či NE.</w:t>
            </w:r>
          </w:p>
          <w:p w14:paraId="4C4A4C3E" w14:textId="77777777" w:rsidR="008708BB" w:rsidRDefault="008708BB" w:rsidP="00EA5E1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Upřesnit jak citovat jméno klienta.</w:t>
            </w:r>
          </w:p>
          <w:p w14:paraId="595BCD06" w14:textId="77777777" w:rsidR="008708BB" w:rsidRDefault="008708BB" w:rsidP="00EA5E1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E2 dodá vyrobený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promospot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do 4 pracovních dní od data objednání.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DE92" w14:textId="13CA9E6A" w:rsidR="008708BB" w:rsidRDefault="00691EAF" w:rsidP="00EA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 xml:space="preserve">Vyplní </w:t>
            </w:r>
            <w:r w:rsidR="00FA5410"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obchodník</w:t>
            </w:r>
          </w:p>
          <w:p w14:paraId="3D597B30" w14:textId="77777777" w:rsidR="00162E88" w:rsidRDefault="00162E88" w:rsidP="00EA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D54B9A" w14:textId="026D0752" w:rsidR="00162E88" w:rsidRDefault="00162E88" w:rsidP="00EA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708BB" w14:paraId="2049824B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97AF" w14:textId="77777777" w:rsidR="008708BB" w:rsidRDefault="008708BB" w:rsidP="00EA5E1B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Termín realizace soutěže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F2FC" w14:textId="3E6B7079" w:rsidR="008708BB" w:rsidRDefault="00691EAF" w:rsidP="00EA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2282D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 xml:space="preserve">Vyplní </w:t>
            </w:r>
            <w:r w:rsidR="0002282D" w:rsidRPr="0002282D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obchodník</w:t>
            </w:r>
          </w:p>
        </w:tc>
      </w:tr>
      <w:tr w:rsidR="008708BB" w14:paraId="43B5EABF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3B6E" w14:textId="77777777" w:rsidR="008708BB" w:rsidRDefault="008708BB" w:rsidP="00EA5E1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Vysílací čas (pásmo) soutěže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CD00B" w14:textId="24BC6583" w:rsidR="008708BB" w:rsidRDefault="008708BB" w:rsidP="00EA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4D15E6C1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766E" w14:textId="77777777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Pořadatel</w:t>
            </w:r>
          </w:p>
          <w:p w14:paraId="2DFB3A05" w14:textId="77777777" w:rsidR="00FA5410" w:rsidRDefault="00FA5410" w:rsidP="00FA5410">
            <w:pPr>
              <w:rPr>
                <w:rFonts w:ascii="Calibri" w:eastAsia="Calibri" w:hAnsi="Calibri" w:cs="Calibri"/>
                <w:i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Klient, se kterým je podepsaná smlouva.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4025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  <w:p w14:paraId="6C328D73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EDA66A" w14:textId="6A8F0D1B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24732707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2676F" w14:textId="77777777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IČ pořadatele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3867" w14:textId="05D71588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  <w:p w14:paraId="7A86E7AF" w14:textId="0CF6BFB2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76653B75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F428" w14:textId="77777777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Staniční číslo smlouvy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2E23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 xml:space="preserve">Vyplní </w:t>
            </w:r>
            <w:proofErr w:type="spellStart"/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ochodník</w:t>
            </w:r>
            <w:proofErr w:type="spellEnd"/>
          </w:p>
          <w:p w14:paraId="361FA0B6" w14:textId="5A80EF9F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2D2B1739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F370" w14:textId="77777777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Obchodník AR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D3CC" w14:textId="1A3DCEF2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</w:tc>
      </w:tr>
      <w:tr w:rsidR="00FA5410" w14:paraId="784B1ADA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9E93" w14:textId="52B4120F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Finálová výhra</w:t>
            </w:r>
          </w:p>
          <w:p w14:paraId="099E6870" w14:textId="77777777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– detailní popis </w:t>
            </w:r>
          </w:p>
          <w:p w14:paraId="1D194DE8" w14:textId="77777777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+ hodnota výhry</w:t>
            </w:r>
          </w:p>
          <w:p w14:paraId="6ECE801D" w14:textId="77777777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Tato textace je uvedena v herním řádu na webu E2, ve vysílání nezazní.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CA0A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  <w:p w14:paraId="69D208F7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15D9A4" w14:textId="366F9F3C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56A4E266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18D4" w14:textId="77777777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Distribuce výher výhercům ze strany E2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628C" w14:textId="77777777" w:rsidR="00FA5410" w:rsidRDefault="00FA5410" w:rsidP="00FA5410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varianty – z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>ajistí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fyzicky, E2 formou e-voucherů, E2 formou fyzických voucherů nebo klient – záleží na dohodě s E2 předem u každého případu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3C44D21" w14:textId="77777777" w:rsidR="00FA5410" w:rsidRDefault="00FA5410" w:rsidP="00FA5410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FD4A3" w14:textId="77777777" w:rsidR="00FA5410" w:rsidRDefault="00FA5410" w:rsidP="00FA5410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Distribuci distribučně náročných výher (objemné, křehké, potraviny) zajistí klient po předchozí dohodě s E2.</w:t>
            </w:r>
          </w:p>
          <w:p w14:paraId="5C1D4F66" w14:textId="77777777" w:rsidR="00FA5410" w:rsidRDefault="00FA5410" w:rsidP="00FA5410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BE241" w14:textId="77777777" w:rsidR="00FA5410" w:rsidRDefault="00FA5410" w:rsidP="00FA5410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Fyzicky upřednostňujeme jen menší výhry, nikoliv velké – k těm buď vouchery nebo distribuci klientem po skončení soutěže.</w:t>
            </w:r>
          </w:p>
          <w:p w14:paraId="0AA3CE87" w14:textId="77777777" w:rsidR="00FA5410" w:rsidRDefault="00FA5410" w:rsidP="00FA5410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120F9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Pokud zajišťuje E2, tak n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 xml:space="preserve">ejpozději </w:t>
            </w:r>
            <w:r w:rsidRPr="00160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53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pracovní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  <w:r w:rsidRPr="00053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ů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 xml:space="preserve"> před startem soutěže doručí klient výhry na adresu: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 xml:space="preserve">Evropa 2, Jiří </w:t>
            </w:r>
            <w:proofErr w:type="spellStart"/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Tayerle</w:t>
            </w:r>
            <w:proofErr w:type="spellEnd"/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, Kancelářský komplex Hagibor,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lice Vinohradská, Praha 10 – Strašnice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PSČ: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100 00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naproti Vinohradskému hřbitovu, budova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PO-PÁ mezi 8:00-18:00 hodinou, jinak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NELZE přijmout!</w:t>
            </w:r>
          </w:p>
          <w:p w14:paraId="4936CEB5" w14:textId="7B47F29A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0DE3A894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4B6F" w14:textId="77777777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lastRenderedPageBreak/>
              <w:t>Soutěžní mechanika</w:t>
            </w:r>
          </w:p>
          <w:p w14:paraId="49F75E3D" w14:textId="6125A8AE" w:rsidR="00FA5410" w:rsidRPr="003E66D0" w:rsidRDefault="00FA5410" w:rsidP="00FA5410">
            <w:pPr>
              <w:pStyle w:val="Odstavecseseznamem"/>
              <w:rPr>
                <w:rFonts w:ascii="Calibri" w:eastAsia="Calibri" w:hAnsi="Calibri" w:cs="Calibri"/>
                <w:i/>
                <w:color w:val="004080"/>
                <w:sz w:val="22"/>
                <w:szCs w:val="22"/>
              </w:rPr>
            </w:pP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34DC" w14:textId="33DAA34C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SOUTĚŽNÍ DUEL</w:t>
            </w:r>
          </w:p>
        </w:tc>
      </w:tr>
      <w:tr w:rsidR="00FA5410" w14:paraId="68ABF6E6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E245" w14:textId="77777777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Citace klienta v soutěži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Text v délce max 20 sec. </w:t>
            </w:r>
          </w:p>
          <w:p w14:paraId="75E36D38" w14:textId="77777777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Výslovnost cizích slov upřesnit.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F846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  <w:p w14:paraId="30E1FCCC" w14:textId="1FA4406A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2890B9EC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B8C3" w14:textId="77777777" w:rsidR="00FA5410" w:rsidRDefault="00FA5410" w:rsidP="00FA541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Citace výhry v soutěži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Text v délce max 20 sec.</w:t>
            </w:r>
          </w:p>
          <w:p w14:paraId="305BD733" w14:textId="77777777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Výslovnost cizích slov upřesnit.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A2E1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Dnes soutěžíme o: </w:t>
            </w:r>
          </w:p>
          <w:p w14:paraId="1BEA9695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  <w:p w14:paraId="4E5B8882" w14:textId="2F18AF15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7D25040E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1D8C" w14:textId="65100F41" w:rsidR="00FA5410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Finalisté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Vybírá rádio na základě webové soutěže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5D40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program</w:t>
            </w:r>
          </w:p>
          <w:p w14:paraId="6C22DA19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3075D4" w14:textId="3067F5D0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A5410" w14:paraId="26CD2B15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4C47" w14:textId="1AA61935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Soutěžní otázky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Otázky finálně schvaluje program, klient může navést  </w:t>
            </w:r>
          </w:p>
          <w:p w14:paraId="58302CD0" w14:textId="34261D43" w:rsidR="00FA5410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5C57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40C444" w14:textId="4FB609A4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1EAF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  <w:p w14:paraId="78249EA2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7CCFC6" w14:textId="41F0E2AF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Prosíme o nástřel otázek na klientské téma, na které se dá odpovědět tipováním. Například: </w:t>
            </w:r>
            <w:r w:rsidRPr="00B2765B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Kolik lidí se přibližně vejde do </w:t>
            </w:r>
            <w:proofErr w:type="spellStart"/>
            <w:r w:rsidRPr="00B2765B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výřívky</w:t>
            </w:r>
            <w:proofErr w:type="spellEnd"/>
            <w:r w:rsidRPr="00B2765B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65B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Marimex</w:t>
            </w:r>
            <w:proofErr w:type="spellEnd"/>
            <w:r w:rsidRPr="00B2765B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?</w:t>
            </w:r>
          </w:p>
          <w:p w14:paraId="02079712" w14:textId="6140CDCA" w:rsidR="00FA5410" w:rsidRPr="00B2765B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2765B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Kolik poboček Klenoty najdeme v České republice?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 Jaké příchutě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>Corny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  <w:t xml:space="preserve"> existují?</w:t>
            </w:r>
          </w:p>
          <w:p w14:paraId="1F02FF8F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80A11D" w14:textId="598DC703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  <w:p w14:paraId="5728F473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  <w:p w14:paraId="45CCE4C6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</w:t>
            </w:r>
          </w:p>
          <w:p w14:paraId="09C9D50F" w14:textId="77777777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</w:t>
            </w:r>
          </w:p>
          <w:p w14:paraId="4B340C6A" w14:textId="4651851A" w:rsidR="00FA5410" w:rsidRPr="00B2765B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</w:t>
            </w:r>
          </w:p>
        </w:tc>
      </w:tr>
      <w:tr w:rsidR="00FA5410" w:rsidRPr="00BF0B89" w14:paraId="5B43509B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7FAD" w14:textId="77777777" w:rsidR="00FA5410" w:rsidRPr="00BF0B89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GDPR</w:t>
            </w:r>
          </w:p>
          <w:p w14:paraId="5000C86B" w14:textId="77777777" w:rsidR="00FA5410" w:rsidRPr="00BF0B89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>Vždy je nutné doplnit žluté pole. Bude umístěno v herním řádu.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CCF4" w14:textId="77777777" w:rsidR="00FA5410" w:rsidRPr="00BF0B89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D80C6FC" w14:textId="77777777" w:rsidR="00FA5410" w:rsidRPr="00BF0B89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159008" w14:textId="47BD8AC0" w:rsidR="00FA5410" w:rsidRPr="00BF0B89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Pořadatel bude, jakožto správce, zpracovávat osobní údaje účastníků dle těchto pravidel hry, a to za účelem plnění smluvního vztahu mezi pořadatelem a účastníkem hry, který vznikne účastí účastníka ve hře. V daném případě jde o zpracování osobních údajů, které nevyžaduje souhlas, jehož právním základem je čl. 6, odst. 1, písm. b) GDPR. Pořadatel bude osobní údaje účastníků zpracovávat v rozsahu nezbytném pro realizaci hry, nejdéle po dobu 10let od posledního dne doby hry. Osobní údaje výherce/ů bude pořadatel také zpracovávat pro marketingové účely spočívající v propagaci pořadatele, jeho výrobků a/nebo služeb a jím pořádaných her formou pořízení podobizen a jiných osobních projevů účastníků, zvukových, obrazových a/nebo zvukově – obrazových záznamů výherce/ů a jejich zveřejnění v reklamních materiálech pořadatele, a to nejdéle po dobu 10let od posledního dne doby hry. Osobní údaje účastníků hry bude pořadatel zpracovávat jak sám, tak tím v souladu s požadavky GDPR pověří třetí osobu – organizátora hry. Při splnění podmínek a předpokladů stanovených GDPR náležejí účastníkům hry, jakožto subjektům údajů v souladu se zpracováním jejich osobních údajů následující práva: (i) právo na bezplatnou informaci o tom, jaké jeho osobní údaje pořadatel zpracovává; (</w:t>
            </w:r>
            <w:proofErr w:type="spellStart"/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</w:t>
            </w:r>
            <w:proofErr w:type="spellEnd"/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právo na opravu nesprávných zpracovávaných osobních údajů; (</w:t>
            </w:r>
            <w:proofErr w:type="spellStart"/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iii</w:t>
            </w:r>
            <w:proofErr w:type="spellEnd"/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 právo na výmaz zpracovávaných osobních </w:t>
            </w: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údajů; (</w:t>
            </w:r>
            <w:proofErr w:type="spellStart"/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iv</w:t>
            </w:r>
            <w:proofErr w:type="spellEnd"/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právo na omezení zpracování osobních údajů; (v) právo na přenositelnost osobních údajů. Účastníci hry jsou oprávněni se obrátit se stížností na dozorový úřad, kterým je Úřad pro ochranu osobních údajů (</w:t>
            </w:r>
            <w:hyperlink r:id="rId8">
              <w:r w:rsidRPr="00BF0B89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www.uoou.cz</w:t>
              </w:r>
            </w:hyperlink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). Výše uvedená práva mohou účastníci hry uplatnit u pořadatele na výše uvedených kontaktních údajích, příp. na e–mailové adrese: </w:t>
            </w:r>
            <w:r w:rsidRPr="00BF0B89">
              <w:rPr>
                <w:rFonts w:asciiTheme="minorHAnsi" w:hAnsiTheme="minorHAnsi" w:cstheme="minorHAnsi"/>
                <w:sz w:val="22"/>
                <w:szCs w:val="22"/>
              </w:rPr>
              <w:t>DOPLNIT E-MAIL</w:t>
            </w: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nebo se mohou obrátit na osobu u pořadatele pověřenou činností na úseku ochrany osobních údajů, a to prostřednictvím e–mailu: </w:t>
            </w:r>
            <w:r w:rsidRPr="00BF0B89">
              <w:rPr>
                <w:rFonts w:asciiTheme="minorHAnsi" w:hAnsiTheme="minorHAnsi" w:cstheme="minorHAnsi"/>
                <w:sz w:val="22"/>
                <w:szCs w:val="22"/>
              </w:rPr>
              <w:t>DOPLNIT E-MAIL</w:t>
            </w: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A5410" w:rsidRPr="00BF0B89" w14:paraId="6A3B95DA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3202" w14:textId="77777777" w:rsidR="00FA5410" w:rsidRPr="00BF0B89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proofErr w:type="spellStart"/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lastRenderedPageBreak/>
              <w:t>Headline</w:t>
            </w:r>
            <w:proofErr w:type="spellEnd"/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 text na web</w:t>
            </w:r>
          </w:p>
          <w:p w14:paraId="5E235F8D" w14:textId="77777777" w:rsidR="00FA5410" w:rsidRPr="00BF0B89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>Nadpis – kreativní pojmenování soutěže na soutěžní podstránku.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827C" w14:textId="159CC77A" w:rsidR="00FA5410" w:rsidRPr="00BF0B89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Vyplní klient</w:t>
            </w:r>
          </w:p>
        </w:tc>
      </w:tr>
      <w:tr w:rsidR="00FA5410" w:rsidRPr="00BF0B89" w14:paraId="1E71A0EC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BEFD" w14:textId="77777777" w:rsidR="00FA5410" w:rsidRPr="00BF0B89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proofErr w:type="spellStart"/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Headline</w:t>
            </w:r>
            <w:proofErr w:type="spellEnd"/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 obrázek na web</w:t>
            </w:r>
          </w:p>
          <w:p w14:paraId="50DBADE0" w14:textId="77777777" w:rsidR="00FA5410" w:rsidRPr="00BF0B89" w:rsidRDefault="00FA5410" w:rsidP="00FA541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>Úvodní obrázek k soutěži na soutěžní podstránku, vložit do přílohy (rozměr:</w:t>
            </w:r>
          </w:p>
          <w:p w14:paraId="16AA4C89" w14:textId="77777777" w:rsidR="00FA5410" w:rsidRPr="00BF0B89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1 200x630 </w:t>
            </w:r>
            <w:proofErr w:type="spellStart"/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>px</w:t>
            </w:r>
            <w:proofErr w:type="spellEnd"/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ve formátu JPG).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D54D" w14:textId="3A9D4E97" w:rsidR="00FA5410" w:rsidRPr="00BF0B89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Vyplní klient</w:t>
            </w:r>
          </w:p>
        </w:tc>
      </w:tr>
      <w:tr w:rsidR="00FA5410" w:rsidRPr="00BF0B89" w14:paraId="1BCE828A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4F2F" w14:textId="77777777" w:rsidR="00FA5410" w:rsidRPr="00BF0B89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Obrázek výhry či galerie klienta</w:t>
            </w:r>
            <w:r w:rsidRPr="00BF0B89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Vložit do přílohy (rozměr: 1 200x630 </w:t>
            </w:r>
            <w:proofErr w:type="spellStart"/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>px</w:t>
            </w:r>
            <w:proofErr w:type="spellEnd"/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ve formátu JPG).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828F" w14:textId="3FDCC455" w:rsidR="00FA5410" w:rsidRPr="00BF0B89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Vyplní klient</w:t>
            </w:r>
          </w:p>
        </w:tc>
      </w:tr>
      <w:tr w:rsidR="00FA5410" w:rsidRPr="00BF0B89" w14:paraId="4914B693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B2C3" w14:textId="77777777" w:rsidR="00FA5410" w:rsidRPr="00BF0B89" w:rsidRDefault="00FA5410" w:rsidP="00FA541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Logo klienta</w:t>
            </w:r>
            <w:r w:rsidRPr="00BF0B89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Vložit do přílohy (rozměr: 1 200x630 </w:t>
            </w:r>
            <w:proofErr w:type="spellStart"/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>px</w:t>
            </w:r>
            <w:proofErr w:type="spellEnd"/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ve formátu JPG).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B962" w14:textId="1364C3AD" w:rsidR="00FA5410" w:rsidRPr="00BF0B89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Vyplní klient</w:t>
            </w:r>
          </w:p>
        </w:tc>
      </w:tr>
      <w:tr w:rsidR="00FA5410" w14:paraId="098AEA36" w14:textId="77777777" w:rsidTr="00EA5E1B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F44D" w14:textId="77777777" w:rsidR="00FA5410" w:rsidRPr="00BF0B89" w:rsidRDefault="00FA5410" w:rsidP="00FA541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Web klienta</w:t>
            </w:r>
          </w:p>
          <w:p w14:paraId="18251214" w14:textId="77777777" w:rsidR="00FA5410" w:rsidRPr="00BF0B89" w:rsidRDefault="00FA5410" w:rsidP="00FA541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i/>
                <w:sz w:val="22"/>
                <w:szCs w:val="22"/>
              </w:rPr>
              <w:t>Případně další linky, které chce klient komunikovat (FB, IG a další).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5684" w14:textId="1BB392AD" w:rsidR="00FA5410" w:rsidRDefault="00FA5410" w:rsidP="00FA5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F0B8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Vyplní klient</w:t>
            </w:r>
          </w:p>
        </w:tc>
      </w:tr>
    </w:tbl>
    <w:p w14:paraId="3147CE71" w14:textId="77777777" w:rsidR="008708BB" w:rsidRDefault="008708BB" w:rsidP="008708BB">
      <w:pPr>
        <w:rPr>
          <w:rFonts w:ascii="Calibri" w:eastAsia="Calibri" w:hAnsi="Calibri" w:cs="Calibri"/>
          <w:sz w:val="22"/>
          <w:szCs w:val="22"/>
        </w:rPr>
      </w:pPr>
    </w:p>
    <w:p w14:paraId="130C69EA" w14:textId="77777777" w:rsidR="008708BB" w:rsidRDefault="008708BB"/>
    <w:sectPr w:rsidR="008708BB">
      <w:pgSz w:w="11906" w:h="16838"/>
      <w:pgMar w:top="1077" w:right="1418" w:bottom="107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C61"/>
    <w:multiLevelType w:val="hybridMultilevel"/>
    <w:tmpl w:val="E084E0D2"/>
    <w:lvl w:ilvl="0" w:tplc="AD622C7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FAE3AC6"/>
    <w:multiLevelType w:val="hybridMultilevel"/>
    <w:tmpl w:val="599C4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3924">
    <w:abstractNumId w:val="1"/>
  </w:num>
  <w:num w:numId="2" w16cid:durableId="129833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BB"/>
    <w:rsid w:val="0002282D"/>
    <w:rsid w:val="00162E88"/>
    <w:rsid w:val="003531D5"/>
    <w:rsid w:val="00622244"/>
    <w:rsid w:val="00691EAF"/>
    <w:rsid w:val="008708BB"/>
    <w:rsid w:val="00AC79B1"/>
    <w:rsid w:val="00B2765B"/>
    <w:rsid w:val="00BF0B89"/>
    <w:rsid w:val="00D73E59"/>
    <w:rsid w:val="00F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2313"/>
  <w15:chartTrackingRefBased/>
  <w15:docId w15:val="{96BB90B2-64FA-3045-9010-2465B73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8BB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70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8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8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8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8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8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8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8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8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8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8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0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0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8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8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8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8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8B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708BB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tayerle@evropa2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HOLASOVÁ, Karolina</dc:creator>
  <cp:keywords/>
  <dc:description/>
  <cp:lastModifiedBy>NEUŽILOVÁ, Kateřina</cp:lastModifiedBy>
  <cp:revision>9</cp:revision>
  <dcterms:created xsi:type="dcterms:W3CDTF">2025-05-22T12:55:00Z</dcterms:created>
  <dcterms:modified xsi:type="dcterms:W3CDTF">2025-11-25T10:31:00Z</dcterms:modified>
</cp:coreProperties>
</file>